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A1CD3" w14:textId="77777777" w:rsidR="005E2CE9" w:rsidRDefault="005E2CE9">
      <w:pPr>
        <w:pStyle w:val="Title"/>
        <w:jc w:val="center"/>
      </w:pPr>
    </w:p>
    <w:p w14:paraId="53C168D8" w14:textId="61B4E22D" w:rsidR="00F14891" w:rsidRDefault="00000000">
      <w:pPr>
        <w:pStyle w:val="Title"/>
        <w:jc w:val="center"/>
      </w:pPr>
      <w:r>
        <w:t>Information Security Policy</w:t>
      </w:r>
    </w:p>
    <w:p w14:paraId="406DDA79" w14:textId="77777777" w:rsidR="005E2CE9" w:rsidRPr="005E2CE9" w:rsidRDefault="005E2CE9" w:rsidP="005E2CE9"/>
    <w:p w14:paraId="58B1A341" w14:textId="77777777" w:rsidR="00F14891" w:rsidRDefault="00000000">
      <w:pPr>
        <w:jc w:val="center"/>
      </w:pPr>
      <w:r>
        <w:rPr>
          <w:b/>
          <w:sz w:val="20"/>
        </w:rPr>
        <w:t>[Merchant Name] | Effective Date: __________ | Owner: __________</w:t>
      </w:r>
    </w:p>
    <w:tbl>
      <w:tblPr>
        <w:tblW w:w="0" w:type="auto"/>
        <w:jc w:val="center"/>
        <w:tblLayout w:type="fixed"/>
        <w:tblLook w:val="04A0" w:firstRow="1" w:lastRow="0" w:firstColumn="1" w:lastColumn="0" w:noHBand="0" w:noVBand="1"/>
      </w:tblPr>
      <w:tblGrid>
        <w:gridCol w:w="3024"/>
        <w:gridCol w:w="6912"/>
      </w:tblGrid>
      <w:tr w:rsidR="00F14891" w14:paraId="4C05CB18" w14:textId="77777777">
        <w:trPr>
          <w:jc w:val="center"/>
        </w:trPr>
        <w:tc>
          <w:tcPr>
            <w:tcW w:w="3024" w:type="dxa"/>
            <w:shd w:val="clear" w:color="auto" w:fill="D9EAF7"/>
            <w:tcMar>
              <w:top w:w="80" w:type="dxa"/>
              <w:left w:w="90" w:type="dxa"/>
              <w:bottom w:w="80" w:type="dxa"/>
              <w:right w:w="90" w:type="dxa"/>
            </w:tcMar>
            <w:vAlign w:val="center"/>
          </w:tcPr>
          <w:p w14:paraId="31D0D486" w14:textId="77777777" w:rsidR="00F14891" w:rsidRDefault="00000000">
            <w:pPr>
              <w:spacing w:after="40" w:line="252" w:lineRule="auto"/>
            </w:pPr>
            <w:r>
              <w:rPr>
                <w:sz w:val="20"/>
              </w:rPr>
              <w:t>Purpose</w:t>
            </w:r>
          </w:p>
        </w:tc>
        <w:tc>
          <w:tcPr>
            <w:tcW w:w="6912" w:type="dxa"/>
            <w:tcMar>
              <w:top w:w="80" w:type="dxa"/>
              <w:left w:w="90" w:type="dxa"/>
              <w:bottom w:w="80" w:type="dxa"/>
              <w:right w:w="90" w:type="dxa"/>
            </w:tcMar>
            <w:vAlign w:val="center"/>
          </w:tcPr>
          <w:p w14:paraId="3375DF57" w14:textId="77777777" w:rsidR="00F14891" w:rsidRDefault="00000000">
            <w:pPr>
              <w:spacing w:after="40" w:line="252" w:lineRule="auto"/>
            </w:pPr>
            <w:r>
              <w:rPr>
                <w:sz w:val="20"/>
              </w:rPr>
              <w:t>Establish minimum security requirements for handling payment-card activity and related merchant operations.</w:t>
            </w:r>
          </w:p>
        </w:tc>
      </w:tr>
      <w:tr w:rsidR="00F14891" w14:paraId="027B71D2" w14:textId="77777777">
        <w:trPr>
          <w:jc w:val="center"/>
        </w:trPr>
        <w:tc>
          <w:tcPr>
            <w:tcW w:w="3024" w:type="dxa"/>
            <w:shd w:val="clear" w:color="auto" w:fill="D9EAF7"/>
            <w:tcMar>
              <w:top w:w="80" w:type="dxa"/>
              <w:left w:w="90" w:type="dxa"/>
              <w:bottom w:w="80" w:type="dxa"/>
              <w:right w:w="90" w:type="dxa"/>
            </w:tcMar>
            <w:vAlign w:val="center"/>
          </w:tcPr>
          <w:p w14:paraId="154D444B" w14:textId="77777777" w:rsidR="00F14891" w:rsidRDefault="00000000">
            <w:pPr>
              <w:spacing w:after="40" w:line="252" w:lineRule="auto"/>
            </w:pPr>
            <w:r>
              <w:rPr>
                <w:sz w:val="20"/>
              </w:rPr>
              <w:t>Scope</w:t>
            </w:r>
          </w:p>
        </w:tc>
        <w:tc>
          <w:tcPr>
            <w:tcW w:w="6912" w:type="dxa"/>
            <w:tcMar>
              <w:top w:w="80" w:type="dxa"/>
              <w:left w:w="90" w:type="dxa"/>
              <w:bottom w:w="80" w:type="dxa"/>
              <w:right w:w="90" w:type="dxa"/>
            </w:tcMar>
            <w:vAlign w:val="center"/>
          </w:tcPr>
          <w:p w14:paraId="5041AC4A" w14:textId="77777777" w:rsidR="00F14891" w:rsidRDefault="00000000">
            <w:pPr>
              <w:spacing w:after="40" w:line="252" w:lineRule="auto"/>
            </w:pPr>
            <w:r>
              <w:rPr>
                <w:sz w:val="20"/>
              </w:rPr>
              <w:t>Applies to employees, contractors, temporary staff, and third parties that support payment acceptance or may access systems connected to payment operations.</w:t>
            </w:r>
          </w:p>
        </w:tc>
      </w:tr>
      <w:tr w:rsidR="00F14891" w14:paraId="78474800" w14:textId="77777777">
        <w:trPr>
          <w:jc w:val="center"/>
        </w:trPr>
        <w:tc>
          <w:tcPr>
            <w:tcW w:w="3024" w:type="dxa"/>
            <w:shd w:val="clear" w:color="auto" w:fill="D9EAF7"/>
            <w:tcMar>
              <w:top w:w="80" w:type="dxa"/>
              <w:left w:w="90" w:type="dxa"/>
              <w:bottom w:w="80" w:type="dxa"/>
              <w:right w:w="90" w:type="dxa"/>
            </w:tcMar>
            <w:vAlign w:val="center"/>
          </w:tcPr>
          <w:p w14:paraId="54CA3E15" w14:textId="77777777" w:rsidR="00F14891" w:rsidRDefault="00000000">
            <w:pPr>
              <w:spacing w:after="40" w:line="252" w:lineRule="auto"/>
            </w:pPr>
            <w:r>
              <w:rPr>
                <w:sz w:val="20"/>
              </w:rPr>
              <w:t>Data Posture</w:t>
            </w:r>
          </w:p>
        </w:tc>
        <w:tc>
          <w:tcPr>
            <w:tcW w:w="6912" w:type="dxa"/>
            <w:tcMar>
              <w:top w:w="80" w:type="dxa"/>
              <w:left w:w="90" w:type="dxa"/>
              <w:bottom w:w="80" w:type="dxa"/>
              <w:right w:w="90" w:type="dxa"/>
            </w:tcMar>
            <w:vAlign w:val="center"/>
          </w:tcPr>
          <w:p w14:paraId="6DBC9FB1" w14:textId="7C1B465C" w:rsidR="00F14891" w:rsidRDefault="00000000">
            <w:pPr>
              <w:spacing w:after="40" w:line="252" w:lineRule="auto"/>
            </w:pPr>
            <w:r>
              <w:rPr>
                <w:sz w:val="20"/>
              </w:rPr>
              <w:t xml:space="preserve">No storage of open cardholder data, no storage of CVV/CVC or PIN data, minimal PII retention, and </w:t>
            </w:r>
            <w:r w:rsidR="007C62F0">
              <w:rPr>
                <w:sz w:val="20"/>
              </w:rPr>
              <w:t xml:space="preserve">using </w:t>
            </w:r>
            <w:r>
              <w:rPr>
                <w:sz w:val="20"/>
              </w:rPr>
              <w:t>least-privilege access</w:t>
            </w:r>
            <w:r w:rsidR="005E2CE9">
              <w:rPr>
                <w:sz w:val="20"/>
              </w:rPr>
              <w:t xml:space="preserve"> to payment systems</w:t>
            </w:r>
            <w:r>
              <w:rPr>
                <w:sz w:val="20"/>
              </w:rPr>
              <w:t>.</w:t>
            </w:r>
          </w:p>
        </w:tc>
      </w:tr>
      <w:tr w:rsidR="00F14891" w14:paraId="2EA478D4" w14:textId="77777777">
        <w:trPr>
          <w:jc w:val="center"/>
        </w:trPr>
        <w:tc>
          <w:tcPr>
            <w:tcW w:w="3024" w:type="dxa"/>
            <w:shd w:val="clear" w:color="auto" w:fill="D9EAF7"/>
            <w:tcMar>
              <w:top w:w="80" w:type="dxa"/>
              <w:left w:w="90" w:type="dxa"/>
              <w:bottom w:w="80" w:type="dxa"/>
              <w:right w:w="90" w:type="dxa"/>
            </w:tcMar>
            <w:vAlign w:val="center"/>
          </w:tcPr>
          <w:p w14:paraId="61A22E32" w14:textId="77777777" w:rsidR="00F14891" w:rsidRDefault="00000000">
            <w:pPr>
              <w:spacing w:after="40" w:line="252" w:lineRule="auto"/>
            </w:pPr>
            <w:r>
              <w:rPr>
                <w:sz w:val="20"/>
              </w:rPr>
              <w:t>Control Baseline</w:t>
            </w:r>
          </w:p>
        </w:tc>
        <w:tc>
          <w:tcPr>
            <w:tcW w:w="6912" w:type="dxa"/>
            <w:tcMar>
              <w:top w:w="80" w:type="dxa"/>
              <w:left w:w="90" w:type="dxa"/>
              <w:bottom w:w="80" w:type="dxa"/>
              <w:right w:w="90" w:type="dxa"/>
            </w:tcMar>
            <w:vAlign w:val="center"/>
          </w:tcPr>
          <w:p w14:paraId="25D31A4B" w14:textId="77777777" w:rsidR="00F14891" w:rsidRDefault="00000000">
            <w:pPr>
              <w:spacing w:after="40" w:line="252" w:lineRule="auto"/>
            </w:pPr>
            <w:r>
              <w:rPr>
                <w:sz w:val="20"/>
              </w:rPr>
              <w:t>PCI DSS aligned, encrypted transmission, secure disposal, incident response, annual review, and workforce training.</w:t>
            </w:r>
          </w:p>
        </w:tc>
      </w:tr>
    </w:tbl>
    <w:p w14:paraId="76BC1EBA" w14:textId="77777777" w:rsidR="00F14891" w:rsidRDefault="00F14891"/>
    <w:p w14:paraId="29F3AAE0" w14:textId="77777777" w:rsidR="00F14891" w:rsidRDefault="00000000">
      <w:pPr>
        <w:pStyle w:val="Heading1"/>
        <w:spacing w:before="200" w:after="60"/>
      </w:pPr>
      <w:r>
        <w:t>1. Policy Overview</w:t>
      </w:r>
    </w:p>
    <w:p w14:paraId="03EF1D09" w14:textId="77777777" w:rsidR="00F14891" w:rsidRDefault="00000000">
      <w:pPr>
        <w:spacing w:after="60" w:line="259" w:lineRule="auto"/>
        <w:ind w:left="216" w:hanging="216"/>
      </w:pPr>
      <w:r>
        <w:t>• This policy defines the information security requirements for merchant payment operations that accept, process, or transmit payment card data for the sale of goods or services.</w:t>
      </w:r>
    </w:p>
    <w:p w14:paraId="07398497" w14:textId="77777777" w:rsidR="00F14891" w:rsidRDefault="00000000">
      <w:pPr>
        <w:spacing w:after="60" w:line="259" w:lineRule="auto"/>
        <w:ind w:left="216" w:hanging="216"/>
      </w:pPr>
      <w:r>
        <w:t>• The organization will operate its payment environment in alignment with current PCI DSS requirements and with a security posture designed to minimize risk by avoiding storage of sensitive payment data whenever possible.</w:t>
      </w:r>
    </w:p>
    <w:p w14:paraId="44A04FAD" w14:textId="77777777" w:rsidR="00F14891" w:rsidRDefault="00000000">
      <w:pPr>
        <w:spacing w:after="60" w:line="259" w:lineRule="auto"/>
        <w:ind w:left="216" w:hanging="216"/>
      </w:pPr>
      <w:r>
        <w:t>• This policy must be reviewed at least annually and whenever there is a material change to payment channels, technology, service providers, or business processes.</w:t>
      </w:r>
    </w:p>
    <w:p w14:paraId="551D69E0" w14:textId="77777777" w:rsidR="00F14891" w:rsidRDefault="00000000">
      <w:pPr>
        <w:pStyle w:val="Heading1"/>
        <w:spacing w:before="200" w:after="60"/>
      </w:pPr>
      <w:r>
        <w:t>2. Scope and Responsibilities</w:t>
      </w:r>
    </w:p>
    <w:p w14:paraId="6473A1E5" w14:textId="77777777" w:rsidR="00F14891" w:rsidRDefault="00000000">
      <w:pPr>
        <w:spacing w:after="60" w:line="259" w:lineRule="auto"/>
        <w:ind w:left="216" w:hanging="216"/>
      </w:pPr>
      <w:r>
        <w:t>• This policy applies to all personnel and third parties involved in payment acceptance, settlement support, terminal support, customer service workflows that touch payment activity, and any supporting infrastructure.</w:t>
      </w:r>
    </w:p>
    <w:p w14:paraId="4316C122" w14:textId="77777777" w:rsidR="00F14891" w:rsidRDefault="00000000">
      <w:pPr>
        <w:spacing w:after="60" w:line="259" w:lineRule="auto"/>
        <w:ind w:left="216" w:hanging="216"/>
      </w:pPr>
      <w:r>
        <w:t>• Management is responsible for enforcing this policy, limiting access to authorized personnel, approving third-party access, and ensuring remediation of identified control gaps.</w:t>
      </w:r>
    </w:p>
    <w:p w14:paraId="5AFC0141" w14:textId="77777777" w:rsidR="00F14891" w:rsidRDefault="00000000">
      <w:pPr>
        <w:spacing w:after="60" w:line="259" w:lineRule="auto"/>
        <w:ind w:left="216" w:hanging="216"/>
      </w:pPr>
      <w:r>
        <w:t>• All personnel with payment-related responsibilities must understand and follow this policy. Non-compliance may result in disciplinary action, removal of access, contract action, or other corrective measures.</w:t>
      </w:r>
    </w:p>
    <w:p w14:paraId="10C8F488" w14:textId="77777777" w:rsidR="00F14891" w:rsidRDefault="00000000">
      <w:pPr>
        <w:pStyle w:val="Heading1"/>
        <w:spacing w:before="200" w:after="60"/>
      </w:pPr>
      <w:r>
        <w:t>3. Data Classification and Definitions</w:t>
      </w:r>
    </w:p>
    <w:p w14:paraId="0859B7B0" w14:textId="77777777" w:rsidR="00F14891" w:rsidRDefault="00000000">
      <w:pPr>
        <w:spacing w:after="60" w:line="259" w:lineRule="auto"/>
        <w:ind w:left="216" w:hanging="216"/>
      </w:pPr>
      <w:r>
        <w:t>• Cardholder data (CHD) includes the primary account number (PAN) and may include cardholder name, expiration date, and service code when stored, processed, or transmitted together with the PAN.</w:t>
      </w:r>
    </w:p>
    <w:p w14:paraId="74E889D7" w14:textId="77777777" w:rsidR="00F14891" w:rsidRDefault="00000000">
      <w:pPr>
        <w:spacing w:after="60" w:line="259" w:lineRule="auto"/>
        <w:ind w:left="216" w:hanging="216"/>
      </w:pPr>
      <w:r>
        <w:t>• Sensitive authentication data includes the card verification code/value (CVV/CVC), PIN, and full track data. Sensitive authentication data must never be stored after authorization.</w:t>
      </w:r>
    </w:p>
    <w:p w14:paraId="17FCF212" w14:textId="77777777" w:rsidR="00F14891" w:rsidRDefault="00000000">
      <w:pPr>
        <w:spacing w:after="60" w:line="259" w:lineRule="auto"/>
        <w:ind w:left="216" w:hanging="216"/>
      </w:pPr>
      <w:r>
        <w:lastRenderedPageBreak/>
        <w:t>• For this merchant environment, the approved operating posture is to avoid retention of open CHD and to limit retained customer information to the minimum business data required, such as contact information or e-mail address when operationally necessary.</w:t>
      </w:r>
    </w:p>
    <w:p w14:paraId="5DDF64D8" w14:textId="77777777" w:rsidR="00F14891" w:rsidRDefault="00000000">
      <w:pPr>
        <w:pStyle w:val="Heading1"/>
        <w:spacing w:before="200" w:after="60"/>
      </w:pPr>
      <w:r>
        <w:t>4. Merchant Data Posture</w:t>
      </w:r>
    </w:p>
    <w:p w14:paraId="5E2C972C" w14:textId="77777777" w:rsidR="00F14891" w:rsidRDefault="00000000">
      <w:pPr>
        <w:spacing w:after="60" w:line="259" w:lineRule="auto"/>
        <w:ind w:left="216" w:hanging="216"/>
      </w:pPr>
      <w:r>
        <w:t>• The organization will not store open cardholder data in electronic files, shared drives, local workstations, cloud storage platforms, paper records, screenshots, spreadsheets, tickets, chat tools, or e-mail.</w:t>
      </w:r>
    </w:p>
    <w:p w14:paraId="6FB0519E" w14:textId="77777777" w:rsidR="00F14891" w:rsidRDefault="00000000">
      <w:pPr>
        <w:spacing w:after="60" w:line="259" w:lineRule="auto"/>
        <w:ind w:left="216" w:hanging="216"/>
      </w:pPr>
      <w:r>
        <w:t>• The organization will not store CVV/CVC, PIN, or full magnetic stripe / chip-equivalent authentication data under any circumstance.</w:t>
      </w:r>
    </w:p>
    <w:p w14:paraId="5A38040C" w14:textId="77777777" w:rsidR="00F14891" w:rsidRDefault="00000000">
      <w:pPr>
        <w:spacing w:after="60" w:line="259" w:lineRule="auto"/>
        <w:ind w:left="216" w:hanging="216"/>
      </w:pPr>
      <w:r>
        <w:t>• The payment processor or approved payment service provider is the system of record for sensitive payment data. Internal merchant systems must not be used as a source of truth for cardholder data.</w:t>
      </w:r>
    </w:p>
    <w:p w14:paraId="32001EB2" w14:textId="77777777" w:rsidR="00F14891" w:rsidRDefault="00000000">
      <w:pPr>
        <w:spacing w:after="60" w:line="259" w:lineRule="auto"/>
        <w:ind w:left="216" w:hanging="216"/>
      </w:pPr>
      <w:r>
        <w:t>• If a business process requires reference to card information, the PAN must be masked so that no more than the first six and last four digits are visible, and only to authorized personnel with a documented business need.</w:t>
      </w:r>
    </w:p>
    <w:p w14:paraId="49A66070" w14:textId="77777777" w:rsidR="00F14891" w:rsidRDefault="00000000">
      <w:pPr>
        <w:spacing w:after="60" w:line="259" w:lineRule="auto"/>
        <w:ind w:left="216" w:hanging="216"/>
      </w:pPr>
      <w:r>
        <w:t>• Any limited operational data retained by the organization must be protected in transit and at rest using approved encryption and access controls.</w:t>
      </w:r>
    </w:p>
    <w:p w14:paraId="0ECE975C" w14:textId="77777777" w:rsidR="00F14891" w:rsidRDefault="00000000">
      <w:pPr>
        <w:pStyle w:val="Heading1"/>
        <w:spacing w:before="200" w:after="60"/>
      </w:pPr>
      <w:r>
        <w:t>5. Electronic Security Controls</w:t>
      </w:r>
    </w:p>
    <w:p w14:paraId="269162C4" w14:textId="77777777" w:rsidR="00F14891" w:rsidRDefault="00000000">
      <w:pPr>
        <w:spacing w:after="60" w:line="259" w:lineRule="auto"/>
        <w:ind w:left="216" w:hanging="216"/>
      </w:pPr>
      <w:r>
        <w:t>• Payment data must not be sent or received through unapproved channels such as standard e-mail, instant messaging, SMS, collaboration chat, or shared note systems.</w:t>
      </w:r>
    </w:p>
    <w:p w14:paraId="3286B17A" w14:textId="77777777" w:rsidR="00F14891" w:rsidRDefault="00000000">
      <w:pPr>
        <w:spacing w:after="60" w:line="259" w:lineRule="auto"/>
        <w:ind w:left="216" w:hanging="216"/>
      </w:pPr>
      <w:r>
        <w:t>• All approved electronic transmission of payment-related data must use secure, encrypted methods and vendor-approved workflows.</w:t>
      </w:r>
    </w:p>
    <w:p w14:paraId="7453589A" w14:textId="77777777" w:rsidR="00F14891" w:rsidRDefault="00000000">
      <w:pPr>
        <w:spacing w:after="60" w:line="259" w:lineRule="auto"/>
        <w:ind w:left="216" w:hanging="216"/>
      </w:pPr>
      <w:r>
        <w:t>• Access to payment applications, portals, reports, and connected systems must follow least-privilege principles and be limited to authorized personnel based on job function.</w:t>
      </w:r>
    </w:p>
    <w:p w14:paraId="3C7B107E" w14:textId="77777777" w:rsidR="00F14891" w:rsidRDefault="00000000">
      <w:pPr>
        <w:spacing w:after="60" w:line="259" w:lineRule="auto"/>
        <w:ind w:left="216" w:hanging="216"/>
      </w:pPr>
      <w:r>
        <w:t>• Systems that support payment operations must use strong authentication, unique user IDs, updated endpoint protection, logging, and timely security patching consistent with company standards.</w:t>
      </w:r>
    </w:p>
    <w:p w14:paraId="5834980D" w14:textId="77777777" w:rsidR="00F14891" w:rsidRDefault="00000000">
      <w:pPr>
        <w:pStyle w:val="Heading1"/>
      </w:pPr>
      <w:r>
        <w:t>6. User Access Controls</w:t>
      </w:r>
    </w:p>
    <w:p w14:paraId="74BA023C" w14:textId="318430AD" w:rsidR="00F14891" w:rsidRDefault="00000000">
      <w:r>
        <w:t>• Access to payment systems, merchant portals, reports, terminals, administrative tools, and supporting infrastructure must be granted only to personnel with an approved business need based on role and job responsibility</w:t>
      </w:r>
      <w:r w:rsidR="005E2CE9">
        <w:t xml:space="preserve"> using </w:t>
      </w:r>
      <w:r w:rsidR="005E2CE9" w:rsidRPr="005E2CE9">
        <w:rPr>
          <w:b/>
          <w:bCs/>
        </w:rPr>
        <w:t>leas</w:t>
      </w:r>
      <w:r w:rsidR="005E2CE9">
        <w:t>t</w:t>
      </w:r>
      <w:r w:rsidR="005E2CE9" w:rsidRPr="005E2CE9">
        <w:rPr>
          <w:b/>
          <w:bCs/>
          <w:i/>
          <w:iCs/>
        </w:rPr>
        <w:t xml:space="preserve"> privilege principl</w:t>
      </w:r>
      <w:r w:rsidR="005E2CE9" w:rsidRPr="005E2CE9">
        <w:rPr>
          <w:b/>
          <w:bCs/>
          <w:i/>
          <w:iCs/>
        </w:rPr>
        <w:t>e</w:t>
      </w:r>
      <w:r w:rsidR="005E2CE9">
        <w:t>.</w:t>
      </w:r>
    </w:p>
    <w:p w14:paraId="1EF4BDFF" w14:textId="77777777" w:rsidR="00F14891" w:rsidRDefault="00000000">
      <w:r>
        <w:t>• User access must follow least-privilege and need-to-know principles. Personnel must receive only the minimum access required to perform assigned duties, and elevated or administrative access must be limited, approved, and documented.</w:t>
      </w:r>
    </w:p>
    <w:p w14:paraId="2E299F67" w14:textId="77777777" w:rsidR="00F14891" w:rsidRDefault="00000000">
      <w:r>
        <w:t>• Unique user IDs are required for each individual. Shared, generic, or group accounts must not be used for access to payment-related systems except where technically required, formally approved, and separately controlled.</w:t>
      </w:r>
    </w:p>
    <w:p w14:paraId="0DD4FC00" w14:textId="77777777" w:rsidR="00F14891" w:rsidRDefault="00000000">
      <w:r>
        <w:t>• Access requests, access changes, and access removal must be authorized by management or a designated owner. Access must be revoked promptly when a user changes roles, no longer requires access, or separates from the organization.</w:t>
      </w:r>
    </w:p>
    <w:p w14:paraId="3ED44DB6" w14:textId="77777777" w:rsidR="00F14891" w:rsidRDefault="00000000">
      <w:r>
        <w:t>• Management should review user access to payment-related systems on a periodic basis to confirm appropriateness, remove unnecessary privileges, and validate that access remains aligned to current job duties.</w:t>
      </w:r>
    </w:p>
    <w:p w14:paraId="71B6246B" w14:textId="77777777" w:rsidR="00F14891" w:rsidRDefault="00000000">
      <w:pPr>
        <w:pStyle w:val="Heading1"/>
        <w:spacing w:before="200" w:after="60"/>
      </w:pPr>
      <w:r>
        <w:lastRenderedPageBreak/>
        <w:t>7. Physical Security and Paper Handling</w:t>
      </w:r>
    </w:p>
    <w:p w14:paraId="73A00CE3" w14:textId="77777777" w:rsidR="00F14891" w:rsidRDefault="00000000">
      <w:pPr>
        <w:spacing w:after="60" w:line="259" w:lineRule="auto"/>
        <w:ind w:left="216" w:hanging="216"/>
      </w:pPr>
      <w:r>
        <w:t>• Paper receipts, settlement reports, and any other physical records related to payment activity must be secured from unauthorized access and retained only when there is a documented business or legal need.</w:t>
      </w:r>
    </w:p>
    <w:p w14:paraId="5E1B4F95" w14:textId="77777777" w:rsidR="00F14891" w:rsidRDefault="00000000">
      <w:pPr>
        <w:spacing w:after="60" w:line="259" w:lineRule="auto"/>
        <w:ind w:left="216" w:hanging="216"/>
      </w:pPr>
      <w:r>
        <w:t>• Any paper record containing masked payment information or other confidential transaction information must be stored in a locked cabinet, drawer, or other controlled location with access restricted to authorized personnel.</w:t>
      </w:r>
    </w:p>
    <w:p w14:paraId="58C8EF5A" w14:textId="77777777" w:rsidR="00F14891" w:rsidRDefault="00000000">
      <w:pPr>
        <w:spacing w:after="60" w:line="259" w:lineRule="auto"/>
        <w:ind w:left="216" w:hanging="216"/>
      </w:pPr>
      <w:r>
        <w:t>• Physical access to point-of-sale terminals, attached devices, receipt printers, and supporting equipment must be limited to authorized personnel.</w:t>
      </w:r>
    </w:p>
    <w:p w14:paraId="2F9342F0" w14:textId="77777777" w:rsidR="00F14891" w:rsidRDefault="00000000">
      <w:pPr>
        <w:pStyle w:val="Heading1"/>
        <w:spacing w:before="200" w:after="60"/>
      </w:pPr>
      <w:r>
        <w:t>8. Point-of-Sale Terminals and Connected Devices</w:t>
      </w:r>
    </w:p>
    <w:p w14:paraId="3F7BB29A" w14:textId="77777777" w:rsidR="00F14891" w:rsidRDefault="00000000">
      <w:pPr>
        <w:spacing w:after="60" w:line="259" w:lineRule="auto"/>
        <w:ind w:left="216" w:hanging="216"/>
      </w:pPr>
      <w:r>
        <w:t>• Only approved and PCI-compliant payment terminals or validated payment applications may be used for card acceptance.</w:t>
      </w:r>
    </w:p>
    <w:p w14:paraId="077F8761" w14:textId="77777777" w:rsidR="00F14891" w:rsidRDefault="00000000">
      <w:pPr>
        <w:spacing w:after="60" w:line="259" w:lineRule="auto"/>
        <w:ind w:left="216" w:hanging="216"/>
      </w:pPr>
      <w:r>
        <w:t>• Personnel must inspect payment terminals for signs of tampering, substitution, or unauthorized attachments and escalate suspicious findings immediately.</w:t>
      </w:r>
    </w:p>
    <w:p w14:paraId="42794804" w14:textId="77777777" w:rsidR="00F14891" w:rsidRDefault="00000000">
      <w:pPr>
        <w:spacing w:after="60" w:line="259" w:lineRule="auto"/>
        <w:ind w:left="216" w:hanging="216"/>
      </w:pPr>
      <w:r>
        <w:t>• Configuration, relocation, replacement, and support of payment devices must be performed only by authorized staff or approved service providers.</w:t>
      </w:r>
    </w:p>
    <w:p w14:paraId="41CC88A3" w14:textId="77777777" w:rsidR="00F14891" w:rsidRDefault="00000000">
      <w:pPr>
        <w:pStyle w:val="Heading1"/>
        <w:spacing w:before="200" w:after="60"/>
      </w:pPr>
      <w:r>
        <w:t>9. Media Handling and Disposal</w:t>
      </w:r>
    </w:p>
    <w:p w14:paraId="5EA29E1E" w14:textId="08728A82" w:rsidR="00F14891" w:rsidRDefault="00000000">
      <w:pPr>
        <w:spacing w:after="60" w:line="259" w:lineRule="auto"/>
        <w:ind w:left="216" w:hanging="216"/>
      </w:pPr>
      <w:r>
        <w:t>• Any media that contains confidential payment-related records must be controlled, inventoried when appropriate,</w:t>
      </w:r>
      <w:r w:rsidR="005E2CE9">
        <w:t xml:space="preserve"> securely stored,</w:t>
      </w:r>
      <w:r>
        <w:t xml:space="preserve"> and accessible only to authorized personnel.</w:t>
      </w:r>
      <w:r w:rsidR="005E2CE9">
        <w:t xml:space="preserve"> </w:t>
      </w:r>
    </w:p>
    <w:p w14:paraId="1F98DAFD" w14:textId="77777777" w:rsidR="00F14891" w:rsidRDefault="00000000">
      <w:pPr>
        <w:spacing w:after="60" w:line="259" w:lineRule="auto"/>
        <w:ind w:left="216" w:hanging="216"/>
      </w:pPr>
      <w:r>
        <w:t>• Electronic media scheduled for disposal must be securely wiped, destroyed, or otherwise rendered unreadable in accordance with company disposal standards.</w:t>
      </w:r>
    </w:p>
    <w:p w14:paraId="4615D993" w14:textId="77777777" w:rsidR="00F14891" w:rsidRDefault="00000000">
      <w:pPr>
        <w:spacing w:after="60" w:line="259" w:lineRule="auto"/>
        <w:ind w:left="216" w:hanging="216"/>
      </w:pPr>
      <w:r>
        <w:t>• Paper materials scheduled for destruction must be cross-cut shredded, pulped, or incinerated so information cannot be reconstructed.</w:t>
      </w:r>
    </w:p>
    <w:p w14:paraId="4F48C90C" w14:textId="77777777" w:rsidR="00F14891" w:rsidRDefault="00000000">
      <w:pPr>
        <w:spacing w:after="60" w:line="259" w:lineRule="auto"/>
        <w:ind w:left="216" w:hanging="216"/>
      </w:pPr>
      <w:r>
        <w:t>• Records of destruction should identify the media type, general contents, date of destruction, and the employee or vendor performing the destruction.</w:t>
      </w:r>
    </w:p>
    <w:p w14:paraId="3655B9BC" w14:textId="77777777" w:rsidR="00F14891" w:rsidRDefault="00000000">
      <w:pPr>
        <w:pStyle w:val="Heading1"/>
        <w:spacing w:before="200" w:after="60"/>
      </w:pPr>
      <w:r>
        <w:t>10. Remote Access, Wireless, and Internet Use</w:t>
      </w:r>
    </w:p>
    <w:p w14:paraId="11C33C1D" w14:textId="77777777" w:rsidR="00F14891" w:rsidRDefault="00000000">
      <w:pPr>
        <w:spacing w:after="60" w:line="259" w:lineRule="auto"/>
        <w:ind w:left="216" w:hanging="216"/>
      </w:pPr>
      <w:r>
        <w:t>• Remote administrative access to systems supporting payment operations must be approved, encrypted, and restricted to authorized users with a documented business need.</w:t>
      </w:r>
    </w:p>
    <w:p w14:paraId="09E5DDB6" w14:textId="77777777" w:rsidR="00F14891" w:rsidRDefault="00000000">
      <w:pPr>
        <w:spacing w:after="60" w:line="259" w:lineRule="auto"/>
        <w:ind w:left="216" w:hanging="216"/>
      </w:pPr>
      <w:r>
        <w:t>• Any wireless network used in locations that support payment operations must be securely configured, managed, and segregated from guest access and other untrusted networks.</w:t>
      </w:r>
    </w:p>
    <w:p w14:paraId="527732EF" w14:textId="77777777" w:rsidR="00F14891" w:rsidRDefault="00000000">
      <w:pPr>
        <w:spacing w:after="60" w:line="259" w:lineRule="auto"/>
        <w:ind w:left="216" w:hanging="216"/>
      </w:pPr>
      <w:r>
        <w:t>• Employees may not use personal messaging, consumer storage platforms, or informal workarounds to transmit or retain payment information.</w:t>
      </w:r>
    </w:p>
    <w:p w14:paraId="41E9CDEB" w14:textId="77777777" w:rsidR="00F14891" w:rsidRDefault="00000000">
      <w:pPr>
        <w:pStyle w:val="Heading1"/>
        <w:spacing w:before="200" w:after="60"/>
      </w:pPr>
      <w:r>
        <w:t>11. Third-Party Service Providers</w:t>
      </w:r>
    </w:p>
    <w:p w14:paraId="418D9B12" w14:textId="77777777" w:rsidR="00F14891" w:rsidRDefault="00000000">
      <w:pPr>
        <w:spacing w:after="60" w:line="259" w:lineRule="auto"/>
        <w:ind w:left="216" w:hanging="216"/>
      </w:pPr>
      <w:r>
        <w:t>• Third parties with access to merchant payment operations or confidential information must be subject to due diligence, confidentiality obligations, and security requirements appropriate to the service provided.</w:t>
      </w:r>
    </w:p>
    <w:p w14:paraId="7082CE30" w14:textId="77777777" w:rsidR="00F14891" w:rsidRDefault="00000000">
      <w:pPr>
        <w:spacing w:after="60" w:line="259" w:lineRule="auto"/>
        <w:ind w:left="216" w:hanging="216"/>
      </w:pPr>
      <w:r>
        <w:t>• Where a third party stores, processes, or transmits payment data on behalf of the merchant, that party must be approved by management and contractually required to maintain applicable security controls.</w:t>
      </w:r>
    </w:p>
    <w:p w14:paraId="652D00AB" w14:textId="77777777" w:rsidR="00F14891" w:rsidRDefault="00000000">
      <w:pPr>
        <w:pStyle w:val="Heading1"/>
        <w:spacing w:before="200" w:after="60"/>
      </w:pPr>
      <w:r>
        <w:t>12. Incident Response</w:t>
      </w:r>
    </w:p>
    <w:p w14:paraId="0A7F9C6E" w14:textId="77777777" w:rsidR="00F14891" w:rsidRDefault="00000000">
      <w:pPr>
        <w:spacing w:after="60" w:line="259" w:lineRule="auto"/>
        <w:ind w:left="216" w:hanging="216"/>
      </w:pPr>
      <w:r>
        <w:t>• Any suspected exposure, misuse, loss, theft, tampering, malware event, or unauthorized disclosure involving payment information, payment devices, or connected systems must be reported immediately to management and the designated security contact.</w:t>
      </w:r>
    </w:p>
    <w:p w14:paraId="5CA0E88C" w14:textId="77777777" w:rsidR="00F14891" w:rsidRDefault="00000000">
      <w:pPr>
        <w:spacing w:after="60" w:line="259" w:lineRule="auto"/>
        <w:ind w:left="216" w:hanging="216"/>
      </w:pPr>
      <w:r>
        <w:lastRenderedPageBreak/>
        <w:t>• The organization must promptly contain the issue, preserve evidence, assess scope, engage required internal or external responders, and notify the payment processor, acquiring partner, legal counsel, insurance carrier, law enforcement, or card brands as required by contract or law.</w:t>
      </w:r>
    </w:p>
    <w:p w14:paraId="240632BB" w14:textId="77777777" w:rsidR="00F14891" w:rsidRDefault="00000000">
      <w:pPr>
        <w:spacing w:after="60" w:line="259" w:lineRule="auto"/>
        <w:ind w:left="216" w:hanging="216"/>
      </w:pPr>
      <w:r>
        <w:t>• Incident response procedures should include documented escalation paths, contact lists, decision owners, and post-incident corrective actions.</w:t>
      </w:r>
    </w:p>
    <w:p w14:paraId="1CD4EAAE" w14:textId="77777777" w:rsidR="00F14891" w:rsidRDefault="00000000">
      <w:pPr>
        <w:pStyle w:val="Heading1"/>
        <w:spacing w:before="200" w:after="60"/>
      </w:pPr>
      <w:r>
        <w:t>13. Training and Review</w:t>
      </w:r>
    </w:p>
    <w:p w14:paraId="2F3BD846" w14:textId="77777777" w:rsidR="00F14891" w:rsidRDefault="00000000">
      <w:pPr>
        <w:spacing w:after="60" w:line="259" w:lineRule="auto"/>
        <w:ind w:left="216" w:hanging="216"/>
      </w:pPr>
      <w:r>
        <w:t>• All new employees with payment-related responsibilities must receive security awareness and policy training before being granted access to payment systems or records.</w:t>
      </w:r>
    </w:p>
    <w:p w14:paraId="25E4BEB6" w14:textId="77777777" w:rsidR="00F14891" w:rsidRDefault="00000000">
      <w:pPr>
        <w:spacing w:after="60" w:line="259" w:lineRule="auto"/>
        <w:ind w:left="216" w:hanging="216"/>
      </w:pPr>
      <w:r>
        <w:t>• Refresher training must be completed at least annually and whenever material policy or process changes occur.</w:t>
      </w:r>
    </w:p>
    <w:p w14:paraId="53751852" w14:textId="77777777" w:rsidR="00F14891" w:rsidRDefault="00000000">
      <w:pPr>
        <w:spacing w:after="60" w:line="259" w:lineRule="auto"/>
        <w:ind w:left="216" w:hanging="216"/>
      </w:pPr>
      <w:r>
        <w:t>• This policy and related procedures must be reviewed at least annually, with evidence of review and approval retained by management.</w:t>
      </w:r>
    </w:p>
    <w:p w14:paraId="4E32D136" w14:textId="77777777" w:rsidR="00F14891" w:rsidRDefault="00000000">
      <w:pPr>
        <w:pStyle w:val="Heading2"/>
      </w:pPr>
      <w:r>
        <w:t>Authorized Personnel and Acknowledgement</w:t>
      </w:r>
    </w:p>
    <w:p w14:paraId="0E90F324" w14:textId="77777777" w:rsidR="00F14891" w:rsidRDefault="00000000">
      <w:pPr>
        <w:spacing w:after="80" w:line="259" w:lineRule="auto"/>
      </w:pPr>
      <w:r>
        <w:t>List below any authorized personnel, roles, or local procedures that supplement this policy:</w:t>
      </w:r>
    </w:p>
    <w:p w14:paraId="69CC5C7B" w14:textId="77777777" w:rsidR="00F14891" w:rsidRDefault="00000000">
      <w:pPr>
        <w:spacing w:after="40"/>
      </w:pPr>
      <w:r>
        <w:t>_______________________________________________</w:t>
      </w:r>
    </w:p>
    <w:p w14:paraId="6004C18F" w14:textId="77777777" w:rsidR="00F14891" w:rsidRDefault="00000000">
      <w:pPr>
        <w:spacing w:after="40"/>
      </w:pPr>
      <w:r>
        <w:t>_______________________________________________</w:t>
      </w:r>
    </w:p>
    <w:p w14:paraId="318273DA" w14:textId="77777777" w:rsidR="00F14891" w:rsidRDefault="00000000">
      <w:pPr>
        <w:spacing w:after="40"/>
      </w:pPr>
      <w:r>
        <w:t>_______________________________________________</w:t>
      </w:r>
    </w:p>
    <w:p w14:paraId="74A3310F" w14:textId="77777777" w:rsidR="00F14891" w:rsidRDefault="00000000">
      <w:pPr>
        <w:spacing w:after="40"/>
      </w:pPr>
      <w:r>
        <w:t>_______________________________________________</w:t>
      </w:r>
    </w:p>
    <w:p w14:paraId="339DF580" w14:textId="77777777" w:rsidR="00F14891" w:rsidRDefault="00000000">
      <w:pPr>
        <w:pStyle w:val="Heading2"/>
      </w:pPr>
      <w:r>
        <w:t>Approval and Review Record</w:t>
      </w:r>
    </w:p>
    <w:tbl>
      <w:tblPr>
        <w:tblW w:w="0" w:type="auto"/>
        <w:jc w:val="center"/>
        <w:tblLayout w:type="fixed"/>
        <w:tblLook w:val="04A0" w:firstRow="1" w:lastRow="0" w:firstColumn="1" w:lastColumn="0" w:noHBand="0" w:noVBand="1"/>
      </w:tblPr>
      <w:tblGrid>
        <w:gridCol w:w="3168"/>
        <w:gridCol w:w="3168"/>
        <w:gridCol w:w="3168"/>
      </w:tblGrid>
      <w:tr w:rsidR="00F14891" w14:paraId="72487F6C" w14:textId="77777777">
        <w:trPr>
          <w:jc w:val="center"/>
        </w:trPr>
        <w:tc>
          <w:tcPr>
            <w:tcW w:w="3168" w:type="dxa"/>
            <w:shd w:val="clear" w:color="auto" w:fill="D9EAF7"/>
            <w:tcMar>
              <w:top w:w="95" w:type="dxa"/>
              <w:left w:w="90" w:type="dxa"/>
              <w:bottom w:w="95" w:type="dxa"/>
              <w:right w:w="90" w:type="dxa"/>
            </w:tcMar>
            <w:vAlign w:val="center"/>
          </w:tcPr>
          <w:p w14:paraId="4DDFFC73" w14:textId="77777777" w:rsidR="00F14891" w:rsidRDefault="00000000">
            <w:r>
              <w:rPr>
                <w:b/>
              </w:rPr>
              <w:t>Role</w:t>
            </w:r>
          </w:p>
        </w:tc>
        <w:tc>
          <w:tcPr>
            <w:tcW w:w="3168" w:type="dxa"/>
            <w:shd w:val="clear" w:color="auto" w:fill="D9EAF7"/>
            <w:tcMar>
              <w:top w:w="95" w:type="dxa"/>
              <w:left w:w="90" w:type="dxa"/>
              <w:bottom w:w="95" w:type="dxa"/>
              <w:right w:w="90" w:type="dxa"/>
            </w:tcMar>
            <w:vAlign w:val="center"/>
          </w:tcPr>
          <w:p w14:paraId="24E4B686" w14:textId="77777777" w:rsidR="00F14891" w:rsidRDefault="00000000">
            <w:r>
              <w:rPr>
                <w:b/>
              </w:rPr>
              <w:t>Name / Signature</w:t>
            </w:r>
          </w:p>
        </w:tc>
        <w:tc>
          <w:tcPr>
            <w:tcW w:w="3168" w:type="dxa"/>
            <w:shd w:val="clear" w:color="auto" w:fill="D9EAF7"/>
            <w:tcMar>
              <w:top w:w="95" w:type="dxa"/>
              <w:left w:w="90" w:type="dxa"/>
              <w:bottom w:w="95" w:type="dxa"/>
              <w:right w:w="90" w:type="dxa"/>
            </w:tcMar>
            <w:vAlign w:val="center"/>
          </w:tcPr>
          <w:p w14:paraId="753AF7FC" w14:textId="77777777" w:rsidR="00F14891" w:rsidRDefault="00000000">
            <w:r>
              <w:rPr>
                <w:b/>
              </w:rPr>
              <w:t>Date</w:t>
            </w:r>
          </w:p>
        </w:tc>
      </w:tr>
      <w:tr w:rsidR="00F14891" w14:paraId="7A7105A8" w14:textId="77777777">
        <w:trPr>
          <w:jc w:val="center"/>
        </w:trPr>
        <w:tc>
          <w:tcPr>
            <w:tcW w:w="3168" w:type="dxa"/>
            <w:tcMar>
              <w:top w:w="95" w:type="dxa"/>
              <w:left w:w="90" w:type="dxa"/>
              <w:bottom w:w="95" w:type="dxa"/>
              <w:right w:w="90" w:type="dxa"/>
            </w:tcMar>
            <w:vAlign w:val="center"/>
          </w:tcPr>
          <w:p w14:paraId="624D3C42" w14:textId="77777777" w:rsidR="00F14891" w:rsidRDefault="00000000">
            <w:r>
              <w:t>Policy Owner</w:t>
            </w:r>
          </w:p>
        </w:tc>
        <w:tc>
          <w:tcPr>
            <w:tcW w:w="3168" w:type="dxa"/>
            <w:tcMar>
              <w:top w:w="95" w:type="dxa"/>
              <w:left w:w="90" w:type="dxa"/>
              <w:bottom w:w="95" w:type="dxa"/>
              <w:right w:w="90" w:type="dxa"/>
            </w:tcMar>
            <w:vAlign w:val="center"/>
          </w:tcPr>
          <w:p w14:paraId="480D8AB7" w14:textId="77777777" w:rsidR="00F14891" w:rsidRDefault="00F14891"/>
        </w:tc>
        <w:tc>
          <w:tcPr>
            <w:tcW w:w="3168" w:type="dxa"/>
            <w:tcMar>
              <w:top w:w="95" w:type="dxa"/>
              <w:left w:w="90" w:type="dxa"/>
              <w:bottom w:w="95" w:type="dxa"/>
              <w:right w:w="90" w:type="dxa"/>
            </w:tcMar>
            <w:vAlign w:val="center"/>
          </w:tcPr>
          <w:p w14:paraId="4A8F670C" w14:textId="77777777" w:rsidR="00F14891" w:rsidRDefault="00F14891"/>
        </w:tc>
      </w:tr>
      <w:tr w:rsidR="00F14891" w14:paraId="1FAD4FA9" w14:textId="77777777">
        <w:trPr>
          <w:jc w:val="center"/>
        </w:trPr>
        <w:tc>
          <w:tcPr>
            <w:tcW w:w="3168" w:type="dxa"/>
            <w:tcMar>
              <w:top w:w="95" w:type="dxa"/>
              <w:left w:w="90" w:type="dxa"/>
              <w:bottom w:w="95" w:type="dxa"/>
              <w:right w:w="90" w:type="dxa"/>
            </w:tcMar>
            <w:vAlign w:val="center"/>
          </w:tcPr>
          <w:p w14:paraId="5CF2F71D" w14:textId="77777777" w:rsidR="00F14891" w:rsidRDefault="00000000">
            <w:r>
              <w:t>Management Approval</w:t>
            </w:r>
          </w:p>
        </w:tc>
        <w:tc>
          <w:tcPr>
            <w:tcW w:w="3168" w:type="dxa"/>
            <w:tcMar>
              <w:top w:w="95" w:type="dxa"/>
              <w:left w:w="90" w:type="dxa"/>
              <w:bottom w:w="95" w:type="dxa"/>
              <w:right w:w="90" w:type="dxa"/>
            </w:tcMar>
            <w:vAlign w:val="center"/>
          </w:tcPr>
          <w:p w14:paraId="6FFF01C1" w14:textId="77777777" w:rsidR="00F14891" w:rsidRDefault="00F14891"/>
        </w:tc>
        <w:tc>
          <w:tcPr>
            <w:tcW w:w="3168" w:type="dxa"/>
            <w:tcMar>
              <w:top w:w="95" w:type="dxa"/>
              <w:left w:w="90" w:type="dxa"/>
              <w:bottom w:w="95" w:type="dxa"/>
              <w:right w:w="90" w:type="dxa"/>
            </w:tcMar>
            <w:vAlign w:val="center"/>
          </w:tcPr>
          <w:p w14:paraId="24F32A5F" w14:textId="77777777" w:rsidR="00F14891" w:rsidRDefault="00F14891"/>
        </w:tc>
      </w:tr>
      <w:tr w:rsidR="00F14891" w14:paraId="62C40F5E" w14:textId="77777777">
        <w:trPr>
          <w:jc w:val="center"/>
        </w:trPr>
        <w:tc>
          <w:tcPr>
            <w:tcW w:w="3168" w:type="dxa"/>
            <w:tcMar>
              <w:top w:w="95" w:type="dxa"/>
              <w:left w:w="90" w:type="dxa"/>
              <w:bottom w:w="95" w:type="dxa"/>
              <w:right w:w="90" w:type="dxa"/>
            </w:tcMar>
            <w:vAlign w:val="center"/>
          </w:tcPr>
          <w:p w14:paraId="56D5D55E" w14:textId="77777777" w:rsidR="00F14891" w:rsidRDefault="00000000">
            <w:r>
              <w:t>Annual Review Completed</w:t>
            </w:r>
          </w:p>
        </w:tc>
        <w:tc>
          <w:tcPr>
            <w:tcW w:w="3168" w:type="dxa"/>
            <w:tcMar>
              <w:top w:w="95" w:type="dxa"/>
              <w:left w:w="90" w:type="dxa"/>
              <w:bottom w:w="95" w:type="dxa"/>
              <w:right w:w="90" w:type="dxa"/>
            </w:tcMar>
            <w:vAlign w:val="center"/>
          </w:tcPr>
          <w:p w14:paraId="64676238" w14:textId="77777777" w:rsidR="00F14891" w:rsidRDefault="00F14891"/>
        </w:tc>
        <w:tc>
          <w:tcPr>
            <w:tcW w:w="3168" w:type="dxa"/>
            <w:tcMar>
              <w:top w:w="95" w:type="dxa"/>
              <w:left w:w="90" w:type="dxa"/>
              <w:bottom w:w="95" w:type="dxa"/>
              <w:right w:w="90" w:type="dxa"/>
            </w:tcMar>
            <w:vAlign w:val="center"/>
          </w:tcPr>
          <w:p w14:paraId="6D2FEDD6" w14:textId="77777777" w:rsidR="00F14891" w:rsidRDefault="00F14891"/>
        </w:tc>
      </w:tr>
    </w:tbl>
    <w:p w14:paraId="168E8741" w14:textId="77777777" w:rsidR="00F14891" w:rsidRDefault="00000000">
      <w:pPr>
        <w:spacing w:before="160"/>
      </w:pPr>
      <w:r w:rsidRPr="005E2CE9">
        <w:rPr>
          <w:b/>
          <w:highlight w:val="yellow"/>
        </w:rPr>
        <w:t xml:space="preserve">Note: </w:t>
      </w:r>
      <w:r w:rsidRPr="005E2CE9">
        <w:rPr>
          <w:highlight w:val="yellow"/>
        </w:rPr>
        <w:t>This template should be tailored to the merchant's actual payment channels, service providers, device inventory, and record retention requirements before approval.</w:t>
      </w:r>
    </w:p>
    <w:sectPr w:rsidR="00F14891" w:rsidSect="00034616">
      <w:footerReference w:type="default" r:id="rId8"/>
      <w:pgSz w:w="12240" w:h="15840"/>
      <w:pgMar w:top="1008" w:right="1224" w:bottom="936"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57B8" w14:textId="77777777" w:rsidR="000379A6" w:rsidRDefault="000379A6">
      <w:pPr>
        <w:spacing w:after="0" w:line="240" w:lineRule="auto"/>
      </w:pPr>
      <w:r>
        <w:separator/>
      </w:r>
    </w:p>
  </w:endnote>
  <w:endnote w:type="continuationSeparator" w:id="0">
    <w:p w14:paraId="227C6EEF" w14:textId="77777777" w:rsidR="000379A6" w:rsidRDefault="0003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BFA8" w14:textId="2FD09BF3" w:rsidR="00F14891" w:rsidRDefault="00000000">
    <w:pPr>
      <w:pStyle w:val="Footer"/>
      <w:jc w:val="center"/>
    </w:pPr>
    <w:r>
      <w:rPr>
        <w:sz w:val="18"/>
      </w:rPr>
      <w:t xml:space="preserve">Information Security Policy - Merchant Use | Page </w:t>
    </w:r>
    <w:r>
      <w:fldChar w:fldCharType="begin"/>
    </w:r>
    <w:r>
      <w:instrText>PAGE</w:instrText>
    </w:r>
    <w:r>
      <w:fldChar w:fldCharType="separate"/>
    </w:r>
    <w:r>
      <w:t>1</w:t>
    </w:r>
    <w:r>
      <w:fldChar w:fldCharType="end"/>
    </w:r>
    <w:r>
      <w:rPr>
        <w:sz w:val="18"/>
      </w:rPr>
      <w:t xml:space="preserve"> of </w:t>
    </w:r>
    <w:r>
      <w:fldChar w:fldCharType="begin"/>
    </w:r>
    <w:r>
      <w:instrText>NUMPAGES</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D5776" w14:textId="77777777" w:rsidR="000379A6" w:rsidRDefault="000379A6">
      <w:pPr>
        <w:spacing w:after="0" w:line="240" w:lineRule="auto"/>
      </w:pPr>
      <w:r>
        <w:separator/>
      </w:r>
    </w:p>
  </w:footnote>
  <w:footnote w:type="continuationSeparator" w:id="0">
    <w:p w14:paraId="723824B0" w14:textId="77777777" w:rsidR="000379A6" w:rsidRDefault="00037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4128096">
    <w:abstractNumId w:val="8"/>
  </w:num>
  <w:num w:numId="2" w16cid:durableId="1278174267">
    <w:abstractNumId w:val="6"/>
  </w:num>
  <w:num w:numId="3" w16cid:durableId="667169833">
    <w:abstractNumId w:val="5"/>
  </w:num>
  <w:num w:numId="4" w16cid:durableId="1863204958">
    <w:abstractNumId w:val="4"/>
  </w:num>
  <w:num w:numId="5" w16cid:durableId="1097486534">
    <w:abstractNumId w:val="7"/>
  </w:num>
  <w:num w:numId="6" w16cid:durableId="519659234">
    <w:abstractNumId w:val="3"/>
  </w:num>
  <w:num w:numId="7" w16cid:durableId="910434116">
    <w:abstractNumId w:val="2"/>
  </w:num>
  <w:num w:numId="8" w16cid:durableId="1978027902">
    <w:abstractNumId w:val="1"/>
  </w:num>
  <w:num w:numId="9" w16cid:durableId="124938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9A6"/>
    <w:rsid w:val="0006063C"/>
    <w:rsid w:val="0015074B"/>
    <w:rsid w:val="0029639D"/>
    <w:rsid w:val="00326F90"/>
    <w:rsid w:val="005D256C"/>
    <w:rsid w:val="005E2CE9"/>
    <w:rsid w:val="007C62F0"/>
    <w:rsid w:val="00AA1D8D"/>
    <w:rsid w:val="00B47730"/>
    <w:rsid w:val="00CB0664"/>
    <w:rsid w:val="00F148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CB321"/>
  <w14:defaultImageDpi w14:val="300"/>
  <w15:docId w15:val="{CBB6D0CA-EC63-4DA9-9498-65C8C4B4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7"/>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66092"/>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1318</Words>
  <Characters>8533</Characters>
  <Application>Microsoft Office Word</Application>
  <DocSecurity>0</DocSecurity>
  <Lines>155</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mgiordano@sourcevm.com</dc:creator>
  <cp:keywords/>
  <dc:description/>
  <cp:lastModifiedBy>Michael Giordano</cp:lastModifiedBy>
  <cp:revision>3</cp:revision>
  <dcterms:created xsi:type="dcterms:W3CDTF">2026-04-01T21:49:00Z</dcterms:created>
  <dcterms:modified xsi:type="dcterms:W3CDTF">2026-04-01T22:12:00Z</dcterms:modified>
  <cp:category/>
</cp:coreProperties>
</file>